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7AFD7" w14:textId="5EE7ABCE" w:rsidR="008F1A69" w:rsidRDefault="00066FF4">
      <w:pPr>
        <w:rPr>
          <w:sz w:val="32"/>
          <w:szCs w:val="32"/>
        </w:rPr>
      </w:pPr>
      <w:r>
        <w:rPr>
          <w:sz w:val="32"/>
          <w:szCs w:val="32"/>
        </w:rPr>
        <w:t xml:space="preserve">Abbeyhill House </w:t>
      </w:r>
      <w:r w:rsidR="004B2E25">
        <w:rPr>
          <w:sz w:val="32"/>
          <w:szCs w:val="32"/>
        </w:rPr>
        <w:t xml:space="preserve">the </w:t>
      </w:r>
      <w:r>
        <w:rPr>
          <w:sz w:val="32"/>
          <w:szCs w:val="32"/>
        </w:rPr>
        <w:t>Edinburgh residence of Lady Grace Menzies.</w:t>
      </w:r>
    </w:p>
    <w:p w14:paraId="09F1AAF1" w14:textId="77777777" w:rsidR="00FF7B32" w:rsidRDefault="00FF7B32">
      <w:pPr>
        <w:rPr>
          <w:sz w:val="32"/>
          <w:szCs w:val="32"/>
        </w:rPr>
      </w:pPr>
    </w:p>
    <w:p w14:paraId="17379F3E" w14:textId="48FD5F96" w:rsidR="00FF7B32" w:rsidRDefault="00261509">
      <w:pPr>
        <w:rPr>
          <w:sz w:val="32"/>
          <w:szCs w:val="32"/>
        </w:rPr>
      </w:pPr>
      <w:r>
        <w:rPr>
          <w:noProof/>
          <w:sz w:val="32"/>
          <w:szCs w:val="32"/>
          <w:lang w:val="en-US"/>
        </w:rPr>
        <w:drawing>
          <wp:inline distT="0" distB="0" distL="0" distR="0" wp14:anchorId="3B48D024" wp14:editId="758C6397">
            <wp:extent cx="6197600" cy="3949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ey hill house2017-06-17 at 22.14.38.png"/>
                    <pic:cNvPicPr/>
                  </pic:nvPicPr>
                  <pic:blipFill rotWithShape="1">
                    <a:blip r:embed="rId6">
                      <a:duotone>
                        <a:prstClr val="black"/>
                        <a:srgbClr val="D9C3A5">
                          <a:tint val="50000"/>
                          <a:satMod val="180000"/>
                        </a:srgbClr>
                      </a:duotone>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1431" t="2694" r="-1228" b="3060"/>
                    <a:stretch/>
                  </pic:blipFill>
                  <pic:spPr bwMode="auto">
                    <a:xfrm>
                      <a:off x="0" y="0"/>
                      <a:ext cx="6197600" cy="3949700"/>
                    </a:xfrm>
                    <a:prstGeom prst="rect">
                      <a:avLst/>
                    </a:prstGeom>
                    <a:ln>
                      <a:noFill/>
                    </a:ln>
                    <a:extLst>
                      <a:ext uri="{53640926-AAD7-44d8-BBD7-CCE9431645EC}">
                        <a14:shadowObscured xmlns:a14="http://schemas.microsoft.com/office/drawing/2010/main"/>
                      </a:ext>
                    </a:extLst>
                  </pic:spPr>
                </pic:pic>
              </a:graphicData>
            </a:graphic>
          </wp:inline>
        </w:drawing>
      </w:r>
    </w:p>
    <w:p w14:paraId="4BE4D022" w14:textId="77777777" w:rsidR="00FF7B32" w:rsidRDefault="00FF7B32" w:rsidP="00FF7B32">
      <w:pPr>
        <w:jc w:val="right"/>
        <w:rPr>
          <w:sz w:val="32"/>
          <w:szCs w:val="32"/>
        </w:rPr>
      </w:pPr>
    </w:p>
    <w:p w14:paraId="2411948D" w14:textId="40C99229" w:rsidR="00FF7B32" w:rsidRDefault="00FF7B32" w:rsidP="00FF7B32">
      <w:pPr>
        <w:jc w:val="right"/>
        <w:rPr>
          <w:sz w:val="32"/>
          <w:szCs w:val="32"/>
        </w:rPr>
      </w:pPr>
    </w:p>
    <w:p w14:paraId="2234AFA1" w14:textId="77777777" w:rsidR="00C41F24" w:rsidRDefault="00C41F24" w:rsidP="00FF7B32">
      <w:pPr>
        <w:jc w:val="right"/>
        <w:rPr>
          <w:sz w:val="32"/>
          <w:szCs w:val="32"/>
        </w:rPr>
      </w:pPr>
    </w:p>
    <w:p w14:paraId="3E8228BE" w14:textId="4E5C0404" w:rsidR="00C41F24" w:rsidRPr="00F83219" w:rsidRDefault="00C41F24" w:rsidP="00C41F24">
      <w:pPr>
        <w:rPr>
          <w:rFonts w:eastAsia="Times New Roman"/>
          <w:color w:val="333333"/>
          <w:sz w:val="32"/>
          <w:szCs w:val="32"/>
        </w:rPr>
      </w:pPr>
      <w:r w:rsidRPr="00F83219">
        <w:rPr>
          <w:rFonts w:eastAsia="Times New Roman"/>
          <w:color w:val="333333"/>
          <w:sz w:val="32"/>
          <w:szCs w:val="32"/>
        </w:rPr>
        <w:t>ABBEY HILL HOUSE   P.O. [Post Office] Directory City Map</w:t>
      </w:r>
      <w:r w:rsidRPr="00F83219">
        <w:rPr>
          <w:rFonts w:eastAsia="Times New Roman"/>
          <w:color w:val="333333"/>
          <w:sz w:val="32"/>
          <w:szCs w:val="32"/>
        </w:rPr>
        <w:br/>
        <w:t>P. O. [Post Office] Directory</w:t>
      </w:r>
      <w:r w:rsidR="00511599">
        <w:rPr>
          <w:rFonts w:eastAsia="Times New Roman"/>
          <w:color w:val="333333"/>
          <w:sz w:val="32"/>
          <w:szCs w:val="32"/>
        </w:rPr>
        <w:t xml:space="preserve"> 1852</w:t>
      </w:r>
    </w:p>
    <w:p w14:paraId="2261E534" w14:textId="77777777" w:rsidR="00C41F24" w:rsidRPr="00F83219" w:rsidRDefault="00C41F24" w:rsidP="00C41F24">
      <w:pPr>
        <w:rPr>
          <w:rFonts w:eastAsia="Times New Roman"/>
          <w:color w:val="333333"/>
          <w:sz w:val="32"/>
          <w:szCs w:val="32"/>
        </w:rPr>
      </w:pPr>
    </w:p>
    <w:p w14:paraId="20A2D01D" w14:textId="77777777" w:rsidR="00C41F24" w:rsidRPr="00F83219" w:rsidRDefault="00C41F24" w:rsidP="00C41F24">
      <w:pPr>
        <w:rPr>
          <w:rFonts w:eastAsia="Times New Roman"/>
          <w:color w:val="333333"/>
          <w:sz w:val="32"/>
          <w:szCs w:val="32"/>
        </w:rPr>
      </w:pPr>
      <w:r w:rsidRPr="00F83219">
        <w:rPr>
          <w:rFonts w:eastAsia="Times New Roman"/>
          <w:color w:val="333333"/>
          <w:sz w:val="32"/>
          <w:szCs w:val="32"/>
        </w:rPr>
        <w:t>[Situation] About 21 chains N.N.E [North North East] from Holyrood Palace</w:t>
      </w:r>
      <w:r w:rsidRPr="00F83219">
        <w:rPr>
          <w:rFonts w:eastAsia="Times New Roman"/>
          <w:color w:val="333333"/>
          <w:sz w:val="32"/>
          <w:szCs w:val="32"/>
        </w:rPr>
        <w:br/>
        <w:t xml:space="preserve">A Small mansion house with stabling, &amp; ornamental, &amp; Kitchen garden attached, </w:t>
      </w:r>
    </w:p>
    <w:p w14:paraId="2116A24F" w14:textId="77777777" w:rsidR="00C41F24" w:rsidRPr="00F83219" w:rsidRDefault="00C41F24" w:rsidP="00C41F24">
      <w:pPr>
        <w:rPr>
          <w:rFonts w:eastAsia="Times New Roman"/>
          <w:color w:val="333333"/>
          <w:sz w:val="32"/>
          <w:szCs w:val="32"/>
        </w:rPr>
      </w:pPr>
      <w:r w:rsidRPr="00F83219">
        <w:rPr>
          <w:rFonts w:eastAsia="Times New Roman"/>
          <w:color w:val="333333"/>
          <w:sz w:val="32"/>
          <w:szCs w:val="32"/>
        </w:rPr>
        <w:t xml:space="preserve">Situated in a Small Park; </w:t>
      </w:r>
    </w:p>
    <w:p w14:paraId="7C5D65E5" w14:textId="77777777" w:rsidR="00C41F24" w:rsidRPr="00F83219" w:rsidRDefault="00C41F24" w:rsidP="00C41F24">
      <w:pPr>
        <w:rPr>
          <w:sz w:val="32"/>
          <w:szCs w:val="32"/>
        </w:rPr>
      </w:pPr>
      <w:r w:rsidRPr="00F83219">
        <w:rPr>
          <w:rFonts w:eastAsia="Times New Roman"/>
          <w:color w:val="333333"/>
          <w:sz w:val="32"/>
          <w:szCs w:val="32"/>
        </w:rPr>
        <w:t>the Property and residence of Lady Menzies.</w:t>
      </w:r>
    </w:p>
    <w:p w14:paraId="0BB3FDD1" w14:textId="5484CA47" w:rsidR="00BE2CE8" w:rsidRDefault="00BE2CE8" w:rsidP="00FF7B32">
      <w:pPr>
        <w:jc w:val="right"/>
        <w:rPr>
          <w:sz w:val="32"/>
          <w:szCs w:val="32"/>
        </w:rPr>
      </w:pPr>
    </w:p>
    <w:p w14:paraId="29A2C888" w14:textId="77777777" w:rsidR="002B2B20" w:rsidRDefault="002B2B20" w:rsidP="002B2B20">
      <w:pPr>
        <w:rPr>
          <w:rFonts w:eastAsia="Times New Roman"/>
          <w:color w:val="666666"/>
          <w:sz w:val="32"/>
          <w:szCs w:val="32"/>
          <w:shd w:val="clear" w:color="auto" w:fill="FFFFFF"/>
        </w:rPr>
      </w:pPr>
      <w:r w:rsidRPr="00BF0174">
        <w:rPr>
          <w:rFonts w:eastAsia="Times New Roman"/>
          <w:color w:val="666666"/>
          <w:sz w:val="32"/>
          <w:szCs w:val="32"/>
          <w:shd w:val="clear" w:color="auto" w:fill="FFFFFF"/>
        </w:rPr>
        <w:t>Abbeyhill House once stood in the vicinity of Abbey Street and Lyne Street and was once home to Baron Norton. The estate stretched to Norton Park off Rossie Place but was demolished around 1870. </w:t>
      </w:r>
    </w:p>
    <w:p w14:paraId="231DDB2A" w14:textId="06EE7B11" w:rsidR="004B2E25" w:rsidRPr="004B2E25" w:rsidRDefault="00D65F46" w:rsidP="004B2E25">
      <w:pPr>
        <w:rPr>
          <w:rFonts w:eastAsia="Times New Roman"/>
          <w:sz w:val="32"/>
          <w:szCs w:val="32"/>
        </w:rPr>
      </w:pPr>
      <w:r>
        <w:rPr>
          <w:rFonts w:eastAsia="Times New Roman"/>
          <w:color w:val="000000"/>
          <w:sz w:val="32"/>
          <w:szCs w:val="32"/>
        </w:rPr>
        <w:lastRenderedPageBreak/>
        <w:t xml:space="preserve">The </w:t>
      </w:r>
      <w:proofErr w:type="gramStart"/>
      <w:r>
        <w:rPr>
          <w:rFonts w:eastAsia="Times New Roman"/>
          <w:color w:val="000000"/>
          <w:sz w:val="32"/>
          <w:szCs w:val="32"/>
        </w:rPr>
        <w:t>Honourable  Fletcher</w:t>
      </w:r>
      <w:proofErr w:type="gramEnd"/>
      <w:r>
        <w:rPr>
          <w:rFonts w:eastAsia="Times New Roman"/>
          <w:color w:val="000000"/>
          <w:sz w:val="32"/>
          <w:szCs w:val="32"/>
        </w:rPr>
        <w:t xml:space="preserve"> Norton </w:t>
      </w:r>
      <w:r w:rsidR="006D1BDD">
        <w:rPr>
          <w:rFonts w:eastAsia="Times New Roman"/>
          <w:color w:val="000000"/>
          <w:sz w:val="32"/>
          <w:szCs w:val="32"/>
        </w:rPr>
        <w:t xml:space="preserve">(1744 – 1820) </w:t>
      </w:r>
      <w:r>
        <w:rPr>
          <w:rFonts w:eastAsia="Times New Roman"/>
          <w:color w:val="000000"/>
          <w:sz w:val="32"/>
          <w:szCs w:val="32"/>
        </w:rPr>
        <w:t xml:space="preserve">was </w:t>
      </w:r>
      <w:r w:rsidR="006D1BDD">
        <w:rPr>
          <w:rFonts w:eastAsia="Times New Roman"/>
          <w:color w:val="000000"/>
          <w:sz w:val="32"/>
          <w:szCs w:val="32"/>
        </w:rPr>
        <w:t xml:space="preserve">the father of </w:t>
      </w:r>
      <w:r>
        <w:rPr>
          <w:rFonts w:eastAsia="Times New Roman"/>
          <w:color w:val="000000"/>
          <w:sz w:val="32"/>
          <w:szCs w:val="32"/>
        </w:rPr>
        <w:t>Grace C</w:t>
      </w:r>
      <w:r w:rsidR="006D1BDD">
        <w:rPr>
          <w:rFonts w:eastAsia="Times New Roman"/>
          <w:color w:val="000000"/>
          <w:sz w:val="32"/>
          <w:szCs w:val="32"/>
        </w:rPr>
        <w:t xml:space="preserve">onyers Norton (Lady </w:t>
      </w:r>
      <w:proofErr w:type="spellStart"/>
      <w:r w:rsidR="006D1BDD">
        <w:rPr>
          <w:rFonts w:eastAsia="Times New Roman"/>
          <w:color w:val="000000"/>
          <w:sz w:val="32"/>
          <w:szCs w:val="32"/>
        </w:rPr>
        <w:t>Menzies</w:t>
      </w:r>
      <w:proofErr w:type="spellEnd"/>
      <w:r w:rsidR="006D1BDD">
        <w:rPr>
          <w:rFonts w:eastAsia="Times New Roman"/>
          <w:color w:val="000000"/>
          <w:sz w:val="32"/>
          <w:szCs w:val="32"/>
        </w:rPr>
        <w:t>)</w:t>
      </w:r>
      <w:r>
        <w:rPr>
          <w:rFonts w:eastAsia="Times New Roman"/>
          <w:color w:val="000000"/>
          <w:sz w:val="32"/>
          <w:szCs w:val="32"/>
        </w:rPr>
        <w:t>. He</w:t>
      </w:r>
      <w:r w:rsidR="00D51959" w:rsidRPr="00D51959">
        <w:rPr>
          <w:rFonts w:eastAsia="Times New Roman"/>
          <w:color w:val="000000"/>
          <w:sz w:val="32"/>
          <w:szCs w:val="32"/>
        </w:rPr>
        <w:t xml:space="preserve"> officiat</w:t>
      </w:r>
      <w:r>
        <w:rPr>
          <w:rFonts w:eastAsia="Times New Roman"/>
          <w:color w:val="000000"/>
          <w:sz w:val="32"/>
          <w:szCs w:val="32"/>
        </w:rPr>
        <w:t>ed</w:t>
      </w:r>
      <w:r w:rsidR="00D51959" w:rsidRPr="00D51959">
        <w:rPr>
          <w:rFonts w:eastAsia="Times New Roman"/>
          <w:color w:val="000000"/>
          <w:sz w:val="32"/>
          <w:szCs w:val="32"/>
        </w:rPr>
        <w:t xml:space="preserve"> as</w:t>
      </w:r>
      <w:r>
        <w:rPr>
          <w:rFonts w:eastAsia="Times New Roman"/>
          <w:color w:val="000000"/>
          <w:sz w:val="32"/>
          <w:szCs w:val="32"/>
        </w:rPr>
        <w:t xml:space="preserve"> a </w:t>
      </w:r>
      <w:r w:rsidR="004B2E25">
        <w:rPr>
          <w:rFonts w:eastAsia="Times New Roman"/>
          <w:color w:val="000000"/>
          <w:sz w:val="32"/>
          <w:szCs w:val="32"/>
        </w:rPr>
        <w:t xml:space="preserve">The </w:t>
      </w:r>
      <w:r w:rsidR="00D51959" w:rsidRPr="00D51959">
        <w:rPr>
          <w:rFonts w:eastAsia="Times New Roman"/>
          <w:color w:val="000000"/>
          <w:sz w:val="32"/>
          <w:szCs w:val="32"/>
        </w:rPr>
        <w:t xml:space="preserve">Baron of Exchequer </w:t>
      </w:r>
      <w:r>
        <w:rPr>
          <w:rFonts w:eastAsia="Times New Roman"/>
          <w:color w:val="000000"/>
          <w:sz w:val="32"/>
          <w:szCs w:val="32"/>
        </w:rPr>
        <w:t xml:space="preserve">of Scotland </w:t>
      </w:r>
      <w:r w:rsidR="00D51959" w:rsidRPr="00D51959">
        <w:rPr>
          <w:rFonts w:eastAsia="Times New Roman"/>
          <w:color w:val="000000"/>
          <w:sz w:val="32"/>
          <w:szCs w:val="32"/>
        </w:rPr>
        <w:t xml:space="preserve">for forty-four years. </w:t>
      </w:r>
      <w:r w:rsidR="004B2E25">
        <w:rPr>
          <w:rFonts w:eastAsia="Times New Roman"/>
          <w:color w:val="000000"/>
          <w:sz w:val="32"/>
          <w:szCs w:val="32"/>
        </w:rPr>
        <w:t>(</w:t>
      </w:r>
      <w:r w:rsidR="004B2E25" w:rsidRPr="004B2E25">
        <w:rPr>
          <w:rFonts w:eastAsia="Times New Roman"/>
          <w:i/>
          <w:color w:val="222222"/>
          <w:sz w:val="32"/>
          <w:szCs w:val="32"/>
          <w:shd w:val="clear" w:color="auto" w:fill="FFFFFF"/>
        </w:rPr>
        <w:t>The </w:t>
      </w:r>
      <w:r w:rsidR="004B2E25" w:rsidRPr="004B2E25">
        <w:rPr>
          <w:rFonts w:eastAsia="Times New Roman"/>
          <w:bCs/>
          <w:i/>
          <w:color w:val="222222"/>
          <w:sz w:val="32"/>
          <w:szCs w:val="32"/>
        </w:rPr>
        <w:t>Court of Exchequer</w:t>
      </w:r>
      <w:r w:rsidR="004B2E25" w:rsidRPr="004B2E25">
        <w:rPr>
          <w:rFonts w:eastAsia="Times New Roman"/>
          <w:i/>
          <w:color w:val="222222"/>
          <w:sz w:val="32"/>
          <w:szCs w:val="32"/>
          <w:shd w:val="clear" w:color="auto" w:fill="FFFFFF"/>
        </w:rPr>
        <w:t> was formerly a distinct part of the </w:t>
      </w:r>
      <w:hyperlink r:id="rId8" w:tooltip="Scottish court system" w:history="1">
        <w:r w:rsidR="004B2E25" w:rsidRPr="004B2E25">
          <w:rPr>
            <w:rFonts w:eastAsia="Times New Roman"/>
            <w:i/>
            <w:color w:val="0B0080"/>
            <w:sz w:val="32"/>
            <w:szCs w:val="32"/>
          </w:rPr>
          <w:t>court system</w:t>
        </w:r>
      </w:hyperlink>
      <w:r w:rsidR="004B2E25" w:rsidRPr="004B2E25">
        <w:rPr>
          <w:rFonts w:eastAsia="Times New Roman"/>
          <w:i/>
          <w:color w:val="222222"/>
          <w:sz w:val="32"/>
          <w:szCs w:val="32"/>
          <w:shd w:val="clear" w:color="auto" w:fill="FFFFFF"/>
        </w:rPr>
        <w:t> in </w:t>
      </w:r>
      <w:hyperlink r:id="rId9" w:tooltip="Scotland" w:history="1">
        <w:r w:rsidR="004B2E25" w:rsidRPr="004B2E25">
          <w:rPr>
            <w:rFonts w:eastAsia="Times New Roman"/>
            <w:i/>
            <w:color w:val="0B0080"/>
            <w:sz w:val="32"/>
            <w:szCs w:val="32"/>
          </w:rPr>
          <w:t>Scotland</w:t>
        </w:r>
      </w:hyperlink>
      <w:r w:rsidR="004B2E25" w:rsidRPr="004B2E25">
        <w:rPr>
          <w:rFonts w:eastAsia="Times New Roman"/>
          <w:i/>
          <w:color w:val="222222"/>
          <w:sz w:val="32"/>
          <w:szCs w:val="32"/>
          <w:shd w:val="clear" w:color="auto" w:fill="FFFFFF"/>
        </w:rPr>
        <w:t>, with responsibility for administration of government revenue and </w:t>
      </w:r>
      <w:hyperlink r:id="rId10" w:tooltip="Subject-matter jurisdiction" w:history="1">
        <w:r w:rsidR="004B2E25" w:rsidRPr="004B2E25">
          <w:rPr>
            <w:rFonts w:eastAsia="Times New Roman"/>
            <w:i/>
            <w:color w:val="0B0080"/>
            <w:sz w:val="32"/>
            <w:szCs w:val="32"/>
          </w:rPr>
          <w:t>jurisdiction</w:t>
        </w:r>
      </w:hyperlink>
      <w:r w:rsidR="004B2E25" w:rsidRPr="004B2E25">
        <w:rPr>
          <w:rFonts w:eastAsia="Times New Roman"/>
          <w:i/>
          <w:color w:val="222222"/>
          <w:sz w:val="32"/>
          <w:szCs w:val="32"/>
          <w:shd w:val="clear" w:color="auto" w:fill="FFFFFF"/>
        </w:rPr>
        <w:t> of </w:t>
      </w:r>
      <w:hyperlink r:id="rId11" w:tooltip="Adjudication" w:history="1">
        <w:r w:rsidR="004B2E25" w:rsidRPr="004B2E25">
          <w:rPr>
            <w:rFonts w:eastAsia="Times New Roman"/>
            <w:i/>
            <w:color w:val="0B0080"/>
            <w:sz w:val="32"/>
            <w:szCs w:val="32"/>
          </w:rPr>
          <w:t>adjudicate</w:t>
        </w:r>
      </w:hyperlink>
      <w:r w:rsidR="004B2E25" w:rsidRPr="004B2E25">
        <w:rPr>
          <w:rFonts w:eastAsia="Times New Roman"/>
          <w:i/>
          <w:color w:val="222222"/>
          <w:sz w:val="32"/>
          <w:szCs w:val="32"/>
          <w:shd w:val="clear" w:color="auto" w:fill="FFFFFF"/>
        </w:rPr>
        <w:t> on cases relating to </w:t>
      </w:r>
      <w:hyperlink r:id="rId12" w:tooltip="Customs (tax)" w:history="1">
        <w:r w:rsidR="004B2E25" w:rsidRPr="004B2E25">
          <w:rPr>
            <w:rFonts w:eastAsia="Times New Roman"/>
            <w:i/>
            <w:color w:val="0B0080"/>
            <w:sz w:val="32"/>
            <w:szCs w:val="32"/>
          </w:rPr>
          <w:t>customs</w:t>
        </w:r>
      </w:hyperlink>
      <w:r w:rsidR="004B2E25" w:rsidRPr="004B2E25">
        <w:rPr>
          <w:rFonts w:eastAsia="Times New Roman"/>
          <w:i/>
          <w:color w:val="222222"/>
          <w:sz w:val="32"/>
          <w:szCs w:val="32"/>
          <w:shd w:val="clear" w:color="auto" w:fill="FFFFFF"/>
        </w:rPr>
        <w:t> and </w:t>
      </w:r>
      <w:hyperlink r:id="rId13" w:tooltip="Excise" w:history="1">
        <w:r w:rsidR="004B2E25" w:rsidRPr="004B2E25">
          <w:rPr>
            <w:rFonts w:eastAsia="Times New Roman"/>
            <w:i/>
            <w:color w:val="0B0080"/>
            <w:sz w:val="32"/>
            <w:szCs w:val="32"/>
          </w:rPr>
          <w:t>excise</w:t>
        </w:r>
      </w:hyperlink>
      <w:r w:rsidR="004B2E25" w:rsidRPr="004B2E25">
        <w:rPr>
          <w:rFonts w:eastAsia="Times New Roman"/>
          <w:i/>
          <w:color w:val="222222"/>
          <w:sz w:val="32"/>
          <w:szCs w:val="32"/>
          <w:shd w:val="clear" w:color="auto" w:fill="FFFFFF"/>
        </w:rPr>
        <w:t>, revenue, </w:t>
      </w:r>
      <w:hyperlink r:id="rId14" w:tooltip="Stamp duty" w:history="1">
        <w:r w:rsidR="004B2E25" w:rsidRPr="004B2E25">
          <w:rPr>
            <w:rFonts w:eastAsia="Times New Roman"/>
            <w:i/>
            <w:color w:val="0B0080"/>
            <w:sz w:val="32"/>
            <w:szCs w:val="32"/>
          </w:rPr>
          <w:t>stamp duty</w:t>
        </w:r>
      </w:hyperlink>
      <w:r w:rsidR="004B2E25" w:rsidRPr="004B2E25">
        <w:rPr>
          <w:rFonts w:eastAsia="Times New Roman"/>
          <w:i/>
          <w:color w:val="222222"/>
          <w:sz w:val="32"/>
          <w:szCs w:val="32"/>
          <w:shd w:val="clear" w:color="auto" w:fill="FFFFFF"/>
        </w:rPr>
        <w:t> and </w:t>
      </w:r>
      <w:hyperlink r:id="rId15" w:tooltip="Probate" w:history="1">
        <w:r w:rsidR="004B2E25" w:rsidRPr="004B2E25">
          <w:rPr>
            <w:rFonts w:eastAsia="Times New Roman"/>
            <w:i/>
            <w:color w:val="0B0080"/>
            <w:sz w:val="32"/>
            <w:szCs w:val="32"/>
          </w:rPr>
          <w:t>probate</w:t>
        </w:r>
      </w:hyperlink>
      <w:r w:rsidR="004B2E25" w:rsidRPr="004B2E25">
        <w:rPr>
          <w:rFonts w:eastAsia="Times New Roman"/>
          <w:i/>
          <w:color w:val="222222"/>
          <w:sz w:val="32"/>
          <w:szCs w:val="32"/>
          <w:shd w:val="clear" w:color="auto" w:fill="FFFFFF"/>
        </w:rPr>
        <w:t>. In 1856 the Court of Session was designated as the Exchequer Court, which now carries out its judicial functions</w:t>
      </w:r>
      <w:r w:rsidR="004B2E25">
        <w:rPr>
          <w:rFonts w:eastAsia="Times New Roman"/>
          <w:color w:val="222222"/>
          <w:sz w:val="32"/>
          <w:szCs w:val="32"/>
          <w:shd w:val="clear" w:color="auto" w:fill="FFFFFF"/>
        </w:rPr>
        <w:t>.)</w:t>
      </w:r>
    </w:p>
    <w:p w14:paraId="6C73E981" w14:textId="78B6EB74" w:rsidR="006D1BDD" w:rsidRDefault="00D65F46" w:rsidP="00D51959">
      <w:pPr>
        <w:rPr>
          <w:rFonts w:eastAsia="Times New Roman"/>
          <w:color w:val="000000"/>
          <w:sz w:val="32"/>
          <w:szCs w:val="32"/>
        </w:rPr>
      </w:pPr>
      <w:r>
        <w:rPr>
          <w:rFonts w:eastAsia="Times New Roman"/>
          <w:color w:val="000000"/>
          <w:sz w:val="32"/>
          <w:szCs w:val="32"/>
        </w:rPr>
        <w:t>He died at Abbeyhill in 1820.</w:t>
      </w:r>
    </w:p>
    <w:p w14:paraId="1ACB0F1C" w14:textId="35D1F280" w:rsidR="00D51959" w:rsidRDefault="00D51959" w:rsidP="00D51959">
      <w:pPr>
        <w:rPr>
          <w:rFonts w:eastAsia="Times New Roman"/>
          <w:color w:val="000000"/>
          <w:sz w:val="32"/>
          <w:szCs w:val="32"/>
        </w:rPr>
      </w:pPr>
      <w:r w:rsidRPr="00D51959">
        <w:rPr>
          <w:rFonts w:eastAsia="Times New Roman"/>
          <w:color w:val="000000"/>
          <w:sz w:val="32"/>
          <w:szCs w:val="32"/>
        </w:rPr>
        <w:t>His remains</w:t>
      </w:r>
      <w:r w:rsidR="00D65F46">
        <w:rPr>
          <w:rFonts w:eastAsia="Times New Roman"/>
          <w:color w:val="000000"/>
          <w:sz w:val="32"/>
          <w:szCs w:val="32"/>
        </w:rPr>
        <w:t xml:space="preserve"> </w:t>
      </w:r>
      <w:r w:rsidRPr="00D51959">
        <w:rPr>
          <w:rFonts w:eastAsia="Times New Roman"/>
          <w:color w:val="000000"/>
          <w:sz w:val="32"/>
          <w:szCs w:val="32"/>
        </w:rPr>
        <w:t>were taken to England and deposited in the</w:t>
      </w:r>
      <w:r>
        <w:rPr>
          <w:rFonts w:eastAsia="Times New Roman"/>
          <w:color w:val="000000"/>
          <w:sz w:val="32"/>
          <w:szCs w:val="32"/>
        </w:rPr>
        <w:t xml:space="preserve"> </w:t>
      </w:r>
      <w:r w:rsidRPr="00D51959">
        <w:rPr>
          <w:rFonts w:eastAsia="Times New Roman"/>
          <w:color w:val="000000"/>
          <w:sz w:val="32"/>
          <w:szCs w:val="32"/>
        </w:rPr>
        <w:t>family vault at Wonersh, near Guildford, in Surrey.</w:t>
      </w:r>
      <w:r w:rsidRPr="00D51959">
        <w:rPr>
          <w:rFonts w:eastAsia="Times New Roman"/>
          <w:color w:val="000000"/>
          <w:sz w:val="32"/>
          <w:szCs w:val="32"/>
        </w:rPr>
        <w:br/>
      </w:r>
      <w:r w:rsidR="00D65F46">
        <w:rPr>
          <w:rFonts w:eastAsia="Times New Roman"/>
          <w:color w:val="000000"/>
          <w:sz w:val="32"/>
          <w:szCs w:val="32"/>
        </w:rPr>
        <w:t>H</w:t>
      </w:r>
      <w:r w:rsidRPr="00D51959">
        <w:rPr>
          <w:rFonts w:eastAsia="Times New Roman"/>
          <w:color w:val="000000"/>
          <w:sz w:val="32"/>
          <w:szCs w:val="32"/>
        </w:rPr>
        <w:t>is son Fletcher Norton</w:t>
      </w:r>
      <w:r w:rsidR="00511599">
        <w:rPr>
          <w:rFonts w:eastAsia="Times New Roman"/>
          <w:color w:val="000000"/>
          <w:sz w:val="32"/>
          <w:szCs w:val="32"/>
        </w:rPr>
        <w:t xml:space="preserve"> (1798 – 1875)</w:t>
      </w:r>
      <w:r w:rsidR="00D65F46">
        <w:rPr>
          <w:rFonts w:eastAsia="Times New Roman"/>
          <w:color w:val="000000"/>
          <w:sz w:val="32"/>
          <w:szCs w:val="32"/>
        </w:rPr>
        <w:t xml:space="preserve">, Lady Menzies brother, </w:t>
      </w:r>
      <w:r w:rsidR="00511599">
        <w:rPr>
          <w:rFonts w:eastAsia="Times New Roman"/>
          <w:color w:val="000000"/>
          <w:sz w:val="32"/>
          <w:szCs w:val="32"/>
        </w:rPr>
        <w:t>succeeded as</w:t>
      </w:r>
      <w:r w:rsidR="0017512D">
        <w:rPr>
          <w:rFonts w:eastAsia="Times New Roman"/>
          <w:color w:val="000000"/>
          <w:sz w:val="32"/>
          <w:szCs w:val="32"/>
        </w:rPr>
        <w:t xml:space="preserve"> </w:t>
      </w:r>
      <w:r w:rsidRPr="00D51959">
        <w:rPr>
          <w:rFonts w:eastAsia="Times New Roman"/>
          <w:color w:val="000000"/>
          <w:sz w:val="32"/>
          <w:szCs w:val="32"/>
        </w:rPr>
        <w:t>third Lord Grantley.</w:t>
      </w:r>
      <w:r w:rsidR="00D65F46">
        <w:rPr>
          <w:rFonts w:eastAsia="Times New Roman"/>
          <w:color w:val="000000"/>
          <w:sz w:val="32"/>
          <w:szCs w:val="32"/>
        </w:rPr>
        <w:t xml:space="preserve"> The title was inherited from his Uncle.</w:t>
      </w:r>
    </w:p>
    <w:p w14:paraId="75CB9D67" w14:textId="77777777" w:rsidR="00CB5C9A" w:rsidRPr="00CB5C9A" w:rsidRDefault="00CB5C9A" w:rsidP="00D51959">
      <w:pPr>
        <w:rPr>
          <w:rFonts w:eastAsia="Times New Roman"/>
          <w:color w:val="000000"/>
          <w:sz w:val="32"/>
          <w:szCs w:val="32"/>
        </w:rPr>
      </w:pPr>
    </w:p>
    <w:p w14:paraId="1CF77F81" w14:textId="25B2DC3F" w:rsidR="00CB5C9A" w:rsidRDefault="00CB5C9A" w:rsidP="00D51959">
      <w:pPr>
        <w:rPr>
          <w:rFonts w:ascii="Arial" w:eastAsia="Times New Roman" w:hAnsi="Arial" w:cs="Arial"/>
          <w:color w:val="323232"/>
        </w:rPr>
      </w:pPr>
      <w:r w:rsidRPr="00CB5C9A">
        <w:rPr>
          <w:rFonts w:eastAsia="Times New Roman"/>
          <w:color w:val="000000"/>
          <w:sz w:val="32"/>
          <w:szCs w:val="32"/>
        </w:rPr>
        <w:t>Th</w:t>
      </w:r>
      <w:r>
        <w:rPr>
          <w:rFonts w:eastAsia="Times New Roman"/>
          <w:color w:val="000000"/>
          <w:sz w:val="32"/>
          <w:szCs w:val="32"/>
        </w:rPr>
        <w:t>e</w:t>
      </w:r>
      <w:r w:rsidRPr="00CB5C9A">
        <w:rPr>
          <w:rFonts w:eastAsia="Times New Roman"/>
          <w:color w:val="000000"/>
          <w:sz w:val="32"/>
          <w:szCs w:val="32"/>
        </w:rPr>
        <w:t xml:space="preserve"> passage </w:t>
      </w:r>
      <w:r>
        <w:rPr>
          <w:rFonts w:eastAsia="Times New Roman"/>
          <w:color w:val="000000"/>
          <w:sz w:val="32"/>
          <w:szCs w:val="32"/>
        </w:rPr>
        <w:t xml:space="preserve">below </w:t>
      </w:r>
      <w:r w:rsidRPr="00CB5C9A">
        <w:rPr>
          <w:rFonts w:eastAsia="Times New Roman"/>
          <w:color w:val="000000"/>
          <w:sz w:val="32"/>
          <w:szCs w:val="32"/>
        </w:rPr>
        <w:t xml:space="preserve">was taken from </w:t>
      </w:r>
      <w:r>
        <w:rPr>
          <w:rFonts w:eastAsia="Times New Roman"/>
          <w:color w:val="000000"/>
          <w:sz w:val="32"/>
          <w:szCs w:val="32"/>
        </w:rPr>
        <w:t>“</w:t>
      </w:r>
      <w:r w:rsidRPr="00CB5C9A">
        <w:rPr>
          <w:rFonts w:eastAsia="Times New Roman"/>
          <w:color w:val="323232"/>
          <w:sz w:val="32"/>
          <w:szCs w:val="32"/>
        </w:rPr>
        <w:t xml:space="preserve">The Edinburgh </w:t>
      </w:r>
      <w:proofErr w:type="spellStart"/>
      <w:r w:rsidRPr="00CB5C9A">
        <w:rPr>
          <w:rFonts w:eastAsia="Times New Roman"/>
          <w:color w:val="323232"/>
          <w:sz w:val="32"/>
          <w:szCs w:val="32"/>
        </w:rPr>
        <w:t>Almanack</w:t>
      </w:r>
      <w:proofErr w:type="spellEnd"/>
      <w:r w:rsidRPr="00CB5C9A">
        <w:rPr>
          <w:rFonts w:eastAsia="Times New Roman"/>
          <w:color w:val="323232"/>
          <w:sz w:val="32"/>
          <w:szCs w:val="32"/>
        </w:rPr>
        <w:t xml:space="preserve"> and Scots Register for 1807</w:t>
      </w:r>
      <w:r>
        <w:rPr>
          <w:rFonts w:eastAsia="Times New Roman"/>
          <w:color w:val="323232"/>
          <w:sz w:val="32"/>
          <w:szCs w:val="32"/>
        </w:rPr>
        <w:t>”</w:t>
      </w:r>
      <w:r w:rsidRPr="00CB5C9A">
        <w:rPr>
          <w:rFonts w:eastAsia="Times New Roman"/>
          <w:color w:val="323232"/>
          <w:sz w:val="32"/>
          <w:szCs w:val="32"/>
        </w:rPr>
        <w:t xml:space="preserve"> </w:t>
      </w:r>
      <w:r>
        <w:rPr>
          <w:rFonts w:eastAsia="Times New Roman"/>
          <w:color w:val="323232"/>
          <w:sz w:val="32"/>
          <w:szCs w:val="32"/>
        </w:rPr>
        <w:t>regarding</w:t>
      </w:r>
      <w:r w:rsidRPr="00CB5C9A">
        <w:rPr>
          <w:rFonts w:eastAsia="Times New Roman"/>
          <w:color w:val="323232"/>
          <w:sz w:val="32"/>
          <w:szCs w:val="32"/>
        </w:rPr>
        <w:t xml:space="preserve"> Lady </w:t>
      </w:r>
      <w:proofErr w:type="spellStart"/>
      <w:r w:rsidRPr="00CB5C9A">
        <w:rPr>
          <w:rFonts w:eastAsia="Times New Roman"/>
          <w:color w:val="323232"/>
          <w:sz w:val="32"/>
          <w:szCs w:val="32"/>
        </w:rPr>
        <w:t>Menzies</w:t>
      </w:r>
      <w:proofErr w:type="spellEnd"/>
      <w:r w:rsidRPr="00CB5C9A">
        <w:rPr>
          <w:rFonts w:eastAsia="Times New Roman"/>
          <w:color w:val="323232"/>
          <w:sz w:val="32"/>
          <w:szCs w:val="32"/>
        </w:rPr>
        <w:t xml:space="preserve"> father</w:t>
      </w:r>
      <w:r w:rsidR="00030E40">
        <w:rPr>
          <w:rFonts w:eastAsia="Times New Roman"/>
          <w:color w:val="323232"/>
          <w:sz w:val="32"/>
          <w:szCs w:val="32"/>
        </w:rPr>
        <w:t xml:space="preserve"> Fletcher Norton</w:t>
      </w:r>
      <w:bookmarkStart w:id="0" w:name="_GoBack"/>
      <w:bookmarkEnd w:id="0"/>
      <w:r>
        <w:rPr>
          <w:rFonts w:ascii="Arial" w:eastAsia="Times New Roman" w:hAnsi="Arial" w:cs="Arial"/>
          <w:color w:val="323232"/>
        </w:rPr>
        <w:t>.</w:t>
      </w:r>
    </w:p>
    <w:p w14:paraId="70CB85B6" w14:textId="77777777" w:rsidR="00CB5C9A" w:rsidRDefault="00CB5C9A" w:rsidP="00D51959">
      <w:pPr>
        <w:rPr>
          <w:rFonts w:ascii="Arial" w:eastAsia="Times New Roman" w:hAnsi="Arial" w:cs="Arial"/>
          <w:color w:val="323232"/>
        </w:rPr>
      </w:pPr>
    </w:p>
    <w:p w14:paraId="7E547365" w14:textId="6EF97727" w:rsidR="00CB5C9A" w:rsidRPr="00CB5C9A" w:rsidRDefault="00CB5C9A" w:rsidP="00D51959">
      <w:pPr>
        <w:rPr>
          <w:rFonts w:eastAsia="Times New Roman"/>
          <w:i/>
          <w:color w:val="323232"/>
          <w:sz w:val="28"/>
          <w:szCs w:val="28"/>
        </w:rPr>
      </w:pPr>
      <w:r w:rsidRPr="00CB5C9A">
        <w:rPr>
          <w:rFonts w:eastAsia="Times New Roman"/>
          <w:i/>
          <w:color w:val="323232"/>
          <w:sz w:val="28"/>
          <w:szCs w:val="28"/>
        </w:rPr>
        <w:t xml:space="preserve">This Edinburgh </w:t>
      </w:r>
      <w:proofErr w:type="spellStart"/>
      <w:r w:rsidRPr="00CB5C9A">
        <w:rPr>
          <w:rFonts w:eastAsia="Times New Roman"/>
          <w:i/>
          <w:color w:val="323232"/>
          <w:sz w:val="28"/>
          <w:szCs w:val="28"/>
        </w:rPr>
        <w:t>Almanack</w:t>
      </w:r>
      <w:proofErr w:type="spellEnd"/>
      <w:r w:rsidRPr="00CB5C9A">
        <w:rPr>
          <w:rFonts w:eastAsia="Times New Roman"/>
          <w:i/>
          <w:color w:val="323232"/>
          <w:sz w:val="28"/>
          <w:szCs w:val="28"/>
        </w:rPr>
        <w:t xml:space="preserve"> belonged to Fletcher Norton (1744-1820), second son of Fletcher Norton, first Baron </w:t>
      </w:r>
      <w:proofErr w:type="spellStart"/>
      <w:r w:rsidRPr="00CB5C9A">
        <w:rPr>
          <w:rFonts w:eastAsia="Times New Roman"/>
          <w:i/>
          <w:color w:val="323232"/>
          <w:sz w:val="28"/>
          <w:szCs w:val="28"/>
        </w:rPr>
        <w:t>Grantley</w:t>
      </w:r>
      <w:proofErr w:type="spellEnd"/>
      <w:r w:rsidRPr="00CB5C9A">
        <w:rPr>
          <w:rFonts w:eastAsia="Times New Roman"/>
          <w:i/>
          <w:color w:val="323232"/>
          <w:sz w:val="28"/>
          <w:szCs w:val="28"/>
        </w:rPr>
        <w:t xml:space="preserve">, </w:t>
      </w:r>
      <w:proofErr w:type="gramStart"/>
      <w:r w:rsidRPr="00CB5C9A">
        <w:rPr>
          <w:rFonts w:eastAsia="Times New Roman"/>
          <w:i/>
          <w:color w:val="323232"/>
          <w:sz w:val="28"/>
          <w:szCs w:val="28"/>
        </w:rPr>
        <w:t>Speaker</w:t>
      </w:r>
      <w:proofErr w:type="gramEnd"/>
      <w:r w:rsidRPr="00CB5C9A">
        <w:rPr>
          <w:rFonts w:eastAsia="Times New Roman"/>
          <w:i/>
          <w:color w:val="323232"/>
          <w:sz w:val="28"/>
          <w:szCs w:val="28"/>
        </w:rPr>
        <w:t xml:space="preserve"> of the House of Commons. 'Fletcher Norton, Abbey Hill, Edinburgh' as he signs himself in this book, was appointed one of the Barons of the Scottish Exchequer in 1776 and set up residence in the Scottish capital. According to James Grant's book Old and New Edinburgh, Norton 'stood high in the estimation of all' as 'husband, father, friend, and master'. A founding member of the Royal Society of Edinburgh, Norton was a supporter of Scottish culture, playing a key role in ensuring the publication of </w:t>
      </w:r>
      <w:proofErr w:type="spellStart"/>
      <w:r w:rsidRPr="00CB5C9A">
        <w:rPr>
          <w:rFonts w:eastAsia="Times New Roman"/>
          <w:i/>
          <w:color w:val="323232"/>
          <w:sz w:val="28"/>
          <w:szCs w:val="28"/>
        </w:rPr>
        <w:t>Albyn's</w:t>
      </w:r>
      <w:proofErr w:type="spellEnd"/>
      <w:r w:rsidRPr="00CB5C9A">
        <w:rPr>
          <w:rFonts w:eastAsia="Times New Roman"/>
          <w:i/>
          <w:color w:val="323232"/>
          <w:sz w:val="28"/>
          <w:szCs w:val="28"/>
        </w:rPr>
        <w:t xml:space="preserve"> Anthology, an important collection of Scottish music. Norton gave his name to East and West Norton Place, </w:t>
      </w:r>
      <w:proofErr w:type="spellStart"/>
      <w:r w:rsidR="00030E40">
        <w:rPr>
          <w:rFonts w:eastAsia="Times New Roman"/>
          <w:i/>
          <w:color w:val="323232"/>
          <w:sz w:val="28"/>
          <w:szCs w:val="28"/>
          <w:shd w:val="clear" w:color="auto" w:fill="FFFF00"/>
        </w:rPr>
        <w:t>Abbeyhill</w:t>
      </w:r>
      <w:proofErr w:type="spellEnd"/>
      <w:r w:rsidRPr="00CB5C9A">
        <w:rPr>
          <w:rFonts w:eastAsia="Times New Roman"/>
          <w:i/>
          <w:color w:val="323232"/>
          <w:sz w:val="28"/>
          <w:szCs w:val="28"/>
        </w:rPr>
        <w:t>, the streets now located on the site of his old Edinburgh home. This almanac, whose blank pages were used by Norton to keep a record of his expenditure, provide an interesting insight into the daily life of a member of Edinburgh's social and cultural elite in the early 19th century, recording the 18 shillings spent on tooth powder, and the £2.9.0 spent on a chaise to London, among other notes. Our perception of movement between England and Scotland during this period is largely one of Scots emigrating - this book bears witness to an Englishman who successfully moved to Scotland and integrated himself with its cultural life</w:t>
      </w:r>
      <w:r>
        <w:rPr>
          <w:rFonts w:eastAsia="Times New Roman"/>
          <w:i/>
          <w:color w:val="323232"/>
          <w:sz w:val="28"/>
          <w:szCs w:val="28"/>
        </w:rPr>
        <w:t>.</w:t>
      </w:r>
    </w:p>
    <w:p w14:paraId="6904C866" w14:textId="77777777" w:rsidR="00CB5C9A" w:rsidRPr="00CB5C9A" w:rsidRDefault="00CB5C9A" w:rsidP="00D51959">
      <w:pPr>
        <w:rPr>
          <w:rFonts w:eastAsia="Times New Roman"/>
          <w:color w:val="323232"/>
        </w:rPr>
      </w:pPr>
    </w:p>
    <w:p w14:paraId="1204578E" w14:textId="7788D47B" w:rsidR="006D1BDD" w:rsidRDefault="006D1BDD" w:rsidP="00D51959">
      <w:pPr>
        <w:rPr>
          <w:rFonts w:eastAsia="Times New Roman"/>
          <w:color w:val="000000"/>
          <w:sz w:val="32"/>
          <w:szCs w:val="32"/>
        </w:rPr>
      </w:pPr>
      <w:r>
        <w:rPr>
          <w:rFonts w:eastAsia="Times New Roman"/>
          <w:color w:val="000000"/>
          <w:sz w:val="32"/>
          <w:szCs w:val="32"/>
        </w:rPr>
        <w:t xml:space="preserve">The Norton Estate at Abbey </w:t>
      </w:r>
      <w:r w:rsidR="00D9501E">
        <w:rPr>
          <w:rFonts w:eastAsia="Times New Roman"/>
          <w:color w:val="000000"/>
          <w:sz w:val="32"/>
          <w:szCs w:val="32"/>
        </w:rPr>
        <w:t>Hill</w:t>
      </w:r>
    </w:p>
    <w:p w14:paraId="6905AA22" w14:textId="7E685BD8" w:rsidR="006D1BDD" w:rsidRDefault="006D1BDD" w:rsidP="00D51959">
      <w:pPr>
        <w:rPr>
          <w:rFonts w:eastAsia="Times New Roman"/>
          <w:color w:val="000000"/>
          <w:sz w:val="32"/>
          <w:szCs w:val="32"/>
        </w:rPr>
      </w:pPr>
      <w:r>
        <w:rPr>
          <w:rFonts w:eastAsia="Times New Roman"/>
          <w:noProof/>
          <w:color w:val="000000"/>
          <w:sz w:val="32"/>
          <w:szCs w:val="32"/>
          <w:lang w:val="en-US"/>
        </w:rPr>
        <w:drawing>
          <wp:inline distT="0" distB="0" distL="0" distR="0" wp14:anchorId="38EE5A6B" wp14:editId="6C46CAD3">
            <wp:extent cx="5270500" cy="47980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n estate map2017-06-21 at 14.05.40.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4798060"/>
                    </a:xfrm>
                    <a:prstGeom prst="rect">
                      <a:avLst/>
                    </a:prstGeom>
                  </pic:spPr>
                </pic:pic>
              </a:graphicData>
            </a:graphic>
          </wp:inline>
        </w:drawing>
      </w:r>
    </w:p>
    <w:p w14:paraId="195CC0B5" w14:textId="77777777" w:rsidR="006D1BDD" w:rsidRPr="00D51959" w:rsidRDefault="006D1BDD" w:rsidP="00D51959">
      <w:pPr>
        <w:rPr>
          <w:rFonts w:eastAsia="Times New Roman"/>
          <w:color w:val="000000"/>
          <w:sz w:val="32"/>
          <w:szCs w:val="32"/>
        </w:rPr>
      </w:pPr>
    </w:p>
    <w:p w14:paraId="735D14B7" w14:textId="77777777" w:rsidR="00030E40" w:rsidRDefault="00030E40" w:rsidP="002B2B20">
      <w:pPr>
        <w:rPr>
          <w:rFonts w:eastAsia="Times New Roman"/>
          <w:b/>
          <w:sz w:val="32"/>
          <w:szCs w:val="32"/>
        </w:rPr>
      </w:pPr>
    </w:p>
    <w:p w14:paraId="54F0B2EE" w14:textId="77777777" w:rsidR="00030E40" w:rsidRDefault="00030E40" w:rsidP="002B2B20">
      <w:pPr>
        <w:rPr>
          <w:rFonts w:eastAsia="Times New Roman"/>
          <w:b/>
          <w:sz w:val="32"/>
          <w:szCs w:val="32"/>
        </w:rPr>
      </w:pPr>
    </w:p>
    <w:p w14:paraId="310D3771" w14:textId="77777777" w:rsidR="00030E40" w:rsidRDefault="00030E40" w:rsidP="002B2B20">
      <w:pPr>
        <w:rPr>
          <w:rFonts w:eastAsia="Times New Roman"/>
          <w:b/>
          <w:sz w:val="32"/>
          <w:szCs w:val="32"/>
        </w:rPr>
      </w:pPr>
    </w:p>
    <w:p w14:paraId="6314C1DD" w14:textId="77777777" w:rsidR="00030E40" w:rsidRDefault="00030E40" w:rsidP="002B2B20">
      <w:pPr>
        <w:rPr>
          <w:rFonts w:eastAsia="Times New Roman"/>
          <w:b/>
          <w:sz w:val="32"/>
          <w:szCs w:val="32"/>
        </w:rPr>
      </w:pPr>
    </w:p>
    <w:p w14:paraId="2E5E36FE" w14:textId="77777777" w:rsidR="00030E40" w:rsidRDefault="00030E40" w:rsidP="002B2B20">
      <w:pPr>
        <w:rPr>
          <w:rFonts w:eastAsia="Times New Roman"/>
          <w:b/>
          <w:sz w:val="32"/>
          <w:szCs w:val="32"/>
        </w:rPr>
      </w:pPr>
    </w:p>
    <w:p w14:paraId="6F7083D7" w14:textId="77777777" w:rsidR="00030E40" w:rsidRDefault="00030E40" w:rsidP="002B2B20">
      <w:pPr>
        <w:rPr>
          <w:rFonts w:eastAsia="Times New Roman"/>
          <w:b/>
          <w:sz w:val="32"/>
          <w:szCs w:val="32"/>
        </w:rPr>
      </w:pPr>
    </w:p>
    <w:p w14:paraId="4A7EB994" w14:textId="77777777" w:rsidR="00030E40" w:rsidRDefault="00030E40" w:rsidP="002B2B20">
      <w:pPr>
        <w:rPr>
          <w:rFonts w:eastAsia="Times New Roman"/>
          <w:b/>
          <w:sz w:val="32"/>
          <w:szCs w:val="32"/>
        </w:rPr>
      </w:pPr>
    </w:p>
    <w:p w14:paraId="7AA240F2" w14:textId="77777777" w:rsidR="00030E40" w:rsidRDefault="00030E40" w:rsidP="002B2B20">
      <w:pPr>
        <w:rPr>
          <w:rFonts w:eastAsia="Times New Roman"/>
          <w:b/>
          <w:sz w:val="32"/>
          <w:szCs w:val="32"/>
        </w:rPr>
      </w:pPr>
    </w:p>
    <w:p w14:paraId="3DA2907B" w14:textId="77777777" w:rsidR="00030E40" w:rsidRDefault="00030E40" w:rsidP="002B2B20">
      <w:pPr>
        <w:rPr>
          <w:rFonts w:eastAsia="Times New Roman"/>
          <w:b/>
          <w:sz w:val="32"/>
          <w:szCs w:val="32"/>
        </w:rPr>
      </w:pPr>
    </w:p>
    <w:p w14:paraId="208D8F3C" w14:textId="77777777" w:rsidR="00030E40" w:rsidRDefault="00030E40" w:rsidP="002B2B20">
      <w:pPr>
        <w:rPr>
          <w:rFonts w:eastAsia="Times New Roman"/>
          <w:b/>
          <w:sz w:val="32"/>
          <w:szCs w:val="32"/>
        </w:rPr>
      </w:pPr>
    </w:p>
    <w:p w14:paraId="71BCAE63" w14:textId="77777777" w:rsidR="00030E40" w:rsidRDefault="00030E40" w:rsidP="002B2B20">
      <w:pPr>
        <w:rPr>
          <w:rFonts w:eastAsia="Times New Roman"/>
          <w:b/>
          <w:sz w:val="32"/>
          <w:szCs w:val="32"/>
        </w:rPr>
      </w:pPr>
    </w:p>
    <w:p w14:paraId="6E7AF1A4" w14:textId="77777777" w:rsidR="00030E40" w:rsidRDefault="00030E40" w:rsidP="002B2B20">
      <w:pPr>
        <w:rPr>
          <w:rFonts w:eastAsia="Times New Roman"/>
          <w:b/>
          <w:sz w:val="32"/>
          <w:szCs w:val="32"/>
        </w:rPr>
      </w:pPr>
    </w:p>
    <w:p w14:paraId="7D950D25" w14:textId="77777777" w:rsidR="00030E40" w:rsidRDefault="00030E40" w:rsidP="002B2B20">
      <w:pPr>
        <w:rPr>
          <w:rFonts w:eastAsia="Times New Roman"/>
          <w:b/>
          <w:sz w:val="32"/>
          <w:szCs w:val="32"/>
        </w:rPr>
      </w:pPr>
    </w:p>
    <w:p w14:paraId="5A264C49" w14:textId="77777777" w:rsidR="00030E40" w:rsidRDefault="00030E40" w:rsidP="002B2B20">
      <w:pPr>
        <w:rPr>
          <w:rFonts w:eastAsia="Times New Roman"/>
          <w:b/>
          <w:sz w:val="32"/>
          <w:szCs w:val="32"/>
        </w:rPr>
      </w:pPr>
    </w:p>
    <w:p w14:paraId="0A497280" w14:textId="77777777" w:rsidR="00030E40" w:rsidRDefault="00030E40" w:rsidP="002B2B20">
      <w:pPr>
        <w:rPr>
          <w:rFonts w:eastAsia="Times New Roman"/>
          <w:b/>
          <w:sz w:val="32"/>
          <w:szCs w:val="32"/>
        </w:rPr>
      </w:pPr>
    </w:p>
    <w:p w14:paraId="3EBA5425" w14:textId="77777777" w:rsidR="00030E40" w:rsidRDefault="00030E40" w:rsidP="002B2B20">
      <w:pPr>
        <w:rPr>
          <w:rFonts w:eastAsia="Times New Roman"/>
          <w:b/>
          <w:sz w:val="32"/>
          <w:szCs w:val="32"/>
        </w:rPr>
      </w:pPr>
    </w:p>
    <w:p w14:paraId="0D3AD966" w14:textId="77777777" w:rsidR="00030E40" w:rsidRDefault="00030E40" w:rsidP="002B2B20">
      <w:pPr>
        <w:rPr>
          <w:rFonts w:eastAsia="Times New Roman"/>
          <w:b/>
          <w:sz w:val="32"/>
          <w:szCs w:val="32"/>
        </w:rPr>
      </w:pPr>
    </w:p>
    <w:p w14:paraId="2FA0037E" w14:textId="4935E92C" w:rsidR="00D51959" w:rsidRPr="00816F1F" w:rsidRDefault="00816F1F" w:rsidP="002B2B20">
      <w:pPr>
        <w:rPr>
          <w:rFonts w:eastAsia="Times New Roman"/>
          <w:b/>
          <w:sz w:val="32"/>
          <w:szCs w:val="32"/>
        </w:rPr>
      </w:pPr>
      <w:r w:rsidRPr="00816F1F">
        <w:rPr>
          <w:rFonts w:eastAsia="Times New Roman"/>
          <w:b/>
          <w:sz w:val="32"/>
          <w:szCs w:val="32"/>
        </w:rPr>
        <w:t xml:space="preserve">The Introduction of </w:t>
      </w:r>
      <w:r w:rsidR="006D1BDD" w:rsidRPr="00816F1F">
        <w:rPr>
          <w:rFonts w:eastAsia="Times New Roman"/>
          <w:b/>
          <w:sz w:val="32"/>
          <w:szCs w:val="32"/>
        </w:rPr>
        <w:t>the Abbeyhill Colonies</w:t>
      </w:r>
    </w:p>
    <w:p w14:paraId="70778AE8" w14:textId="6C8C56B7" w:rsidR="009B74E3" w:rsidRPr="009B74E3" w:rsidRDefault="009B74E3" w:rsidP="009B74E3">
      <w:pPr>
        <w:pStyle w:val="NormalWeb"/>
        <w:rPr>
          <w:rFonts w:ascii="Times New Roman" w:hAnsi="Times New Roman"/>
          <w:sz w:val="32"/>
          <w:szCs w:val="32"/>
        </w:rPr>
      </w:pPr>
      <w:r w:rsidRPr="009B74E3">
        <w:rPr>
          <w:rFonts w:ascii="Times New Roman" w:hAnsi="Times New Roman"/>
          <w:sz w:val="32"/>
          <w:szCs w:val="32"/>
        </w:rPr>
        <w:t xml:space="preserve">The collapse of tenements on Edinburgh’s High Street on the 24th November 1861, when 35 people were killed and a further 100 injured brought the issue of the condition of buildings in the Old Town into sharp public relief. </w:t>
      </w:r>
    </w:p>
    <w:p w14:paraId="3518E848" w14:textId="77777777" w:rsidR="009B74E3" w:rsidRDefault="009B74E3" w:rsidP="009B74E3">
      <w:pPr>
        <w:pStyle w:val="NormalWeb"/>
        <w:rPr>
          <w:rFonts w:ascii="Times New Roman" w:hAnsi="Times New Roman"/>
          <w:sz w:val="32"/>
          <w:szCs w:val="32"/>
        </w:rPr>
      </w:pPr>
      <w:r w:rsidRPr="009B74E3">
        <w:rPr>
          <w:rFonts w:ascii="Times New Roman" w:hAnsi="Times New Roman"/>
          <w:sz w:val="32"/>
          <w:szCs w:val="32"/>
        </w:rPr>
        <w:t xml:space="preserve">The Victorian improvement schemes in the Old Town, in which the older tenements were replaced with new buildings, often in a Baronial style, were seen as a solution to the problem. </w:t>
      </w:r>
    </w:p>
    <w:p w14:paraId="7CC44F95" w14:textId="77777777" w:rsidR="0096537D" w:rsidRDefault="0096537D" w:rsidP="009B74E3">
      <w:pPr>
        <w:pStyle w:val="NormalWeb"/>
        <w:rPr>
          <w:rFonts w:ascii="Times New Roman" w:hAnsi="Times New Roman"/>
          <w:sz w:val="32"/>
          <w:szCs w:val="32"/>
        </w:rPr>
      </w:pPr>
    </w:p>
    <w:p w14:paraId="122DFD38" w14:textId="77777777" w:rsidR="0096537D" w:rsidRPr="009B74E3" w:rsidRDefault="0096537D" w:rsidP="009B74E3">
      <w:pPr>
        <w:pStyle w:val="NormalWeb"/>
        <w:rPr>
          <w:rFonts w:ascii="Times New Roman" w:hAnsi="Times New Roman"/>
          <w:sz w:val="32"/>
          <w:szCs w:val="32"/>
        </w:rPr>
      </w:pPr>
    </w:p>
    <w:p w14:paraId="517CA3C9" w14:textId="0B701CF0" w:rsidR="00EF187C" w:rsidRDefault="00355A4A" w:rsidP="00FF7B32">
      <w:pPr>
        <w:jc w:val="right"/>
        <w:rPr>
          <w:sz w:val="32"/>
          <w:szCs w:val="32"/>
        </w:rPr>
      </w:pPr>
      <w:r>
        <w:rPr>
          <w:noProof/>
          <w:sz w:val="32"/>
          <w:szCs w:val="32"/>
          <w:lang w:val="en-US"/>
        </w:rPr>
        <w:drawing>
          <wp:inline distT="0" distB="0" distL="0" distR="0" wp14:anchorId="1F040FD9" wp14:editId="31946601">
            <wp:extent cx="5270500" cy="4074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074833"/>
                    </a:xfrm>
                    <a:prstGeom prst="rect">
                      <a:avLst/>
                    </a:prstGeom>
                    <a:noFill/>
                    <a:ln>
                      <a:noFill/>
                    </a:ln>
                    <a:effectLst>
                      <a:softEdge rad="88900"/>
                    </a:effectLst>
                  </pic:spPr>
                </pic:pic>
              </a:graphicData>
            </a:graphic>
          </wp:inline>
        </w:drawing>
      </w:r>
    </w:p>
    <w:p w14:paraId="056FDD6C" w14:textId="77777777" w:rsidR="009B74E3" w:rsidRDefault="009B74E3" w:rsidP="00FF7B32">
      <w:pPr>
        <w:jc w:val="right"/>
        <w:rPr>
          <w:sz w:val="32"/>
          <w:szCs w:val="32"/>
        </w:rPr>
      </w:pPr>
    </w:p>
    <w:p w14:paraId="04986B94" w14:textId="77777777" w:rsidR="004B2E25" w:rsidRDefault="004B2E25" w:rsidP="009B74E3">
      <w:pPr>
        <w:pStyle w:val="NormalWeb"/>
        <w:rPr>
          <w:rFonts w:ascii="Times New Roman" w:hAnsi="Times New Roman"/>
          <w:sz w:val="32"/>
          <w:szCs w:val="32"/>
        </w:rPr>
      </w:pPr>
    </w:p>
    <w:p w14:paraId="4790BFAB" w14:textId="77777777" w:rsidR="0096537D" w:rsidRDefault="0096537D" w:rsidP="009B74E3">
      <w:pPr>
        <w:pStyle w:val="NormalWeb"/>
        <w:rPr>
          <w:rFonts w:ascii="Times New Roman" w:hAnsi="Times New Roman"/>
          <w:sz w:val="32"/>
          <w:szCs w:val="32"/>
        </w:rPr>
      </w:pPr>
    </w:p>
    <w:p w14:paraId="1715DD43" w14:textId="77777777" w:rsidR="0096537D" w:rsidRDefault="0096537D" w:rsidP="009B74E3">
      <w:pPr>
        <w:pStyle w:val="NormalWeb"/>
        <w:rPr>
          <w:rFonts w:ascii="Times New Roman" w:hAnsi="Times New Roman"/>
          <w:sz w:val="32"/>
          <w:szCs w:val="32"/>
        </w:rPr>
      </w:pPr>
    </w:p>
    <w:p w14:paraId="3CD61A86" w14:textId="77777777" w:rsidR="0096537D" w:rsidRDefault="0096537D" w:rsidP="009B74E3">
      <w:pPr>
        <w:pStyle w:val="NormalWeb"/>
        <w:rPr>
          <w:rFonts w:ascii="Times New Roman" w:hAnsi="Times New Roman"/>
          <w:sz w:val="32"/>
          <w:szCs w:val="32"/>
        </w:rPr>
      </w:pPr>
    </w:p>
    <w:p w14:paraId="7D6EE4B9" w14:textId="77777777" w:rsidR="009B74E3" w:rsidRPr="009B74E3" w:rsidRDefault="009B74E3" w:rsidP="009B74E3">
      <w:pPr>
        <w:pStyle w:val="NormalWeb"/>
        <w:rPr>
          <w:rFonts w:ascii="Times New Roman" w:hAnsi="Times New Roman"/>
          <w:sz w:val="32"/>
          <w:szCs w:val="32"/>
        </w:rPr>
      </w:pPr>
      <w:r w:rsidRPr="009B74E3">
        <w:rPr>
          <w:rFonts w:ascii="Times New Roman" w:hAnsi="Times New Roman"/>
          <w:sz w:val="32"/>
          <w:szCs w:val="32"/>
        </w:rPr>
        <w:t xml:space="preserve">The Colonies form a rectangular site and are composed of seven streets: Maryfield, Maryfield Place, Alva Place, Lady Menzies Place, Regent Place, Waverly Place and Carlyle Place (West to East). </w:t>
      </w:r>
    </w:p>
    <w:p w14:paraId="2F8E1FB9" w14:textId="77777777" w:rsidR="009B74E3" w:rsidRDefault="009B74E3" w:rsidP="009B74E3">
      <w:pPr>
        <w:rPr>
          <w:sz w:val="32"/>
          <w:szCs w:val="32"/>
        </w:rPr>
      </w:pPr>
    </w:p>
    <w:p w14:paraId="6712C787" w14:textId="25615322" w:rsidR="00EF187C" w:rsidRDefault="00BF0174" w:rsidP="00EF187C">
      <w:pPr>
        <w:rPr>
          <w:sz w:val="32"/>
          <w:szCs w:val="32"/>
        </w:rPr>
      </w:pPr>
      <w:r>
        <w:rPr>
          <w:noProof/>
          <w:sz w:val="32"/>
          <w:szCs w:val="32"/>
          <w:lang w:val="en-US"/>
        </w:rPr>
        <w:drawing>
          <wp:inline distT="0" distB="0" distL="0" distR="0" wp14:anchorId="21BF1632" wp14:editId="560D7972">
            <wp:extent cx="5270500" cy="3575685"/>
            <wp:effectExtent l="0" t="0" r="1270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eyhill colonies 2017-06-17 at 23.56.13.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575685"/>
                    </a:xfrm>
                    <a:prstGeom prst="rect">
                      <a:avLst/>
                    </a:prstGeom>
                  </pic:spPr>
                </pic:pic>
              </a:graphicData>
            </a:graphic>
          </wp:inline>
        </w:drawing>
      </w:r>
    </w:p>
    <w:p w14:paraId="3B5B2555" w14:textId="77777777" w:rsidR="004B2E25" w:rsidRDefault="004B2E25" w:rsidP="00EF187C">
      <w:pPr>
        <w:rPr>
          <w:sz w:val="32"/>
          <w:szCs w:val="32"/>
        </w:rPr>
      </w:pPr>
    </w:p>
    <w:p w14:paraId="32B40E17" w14:textId="2D1AAAD4" w:rsidR="004B2E25" w:rsidRDefault="004B2E25" w:rsidP="00EF187C">
      <w:pPr>
        <w:rPr>
          <w:sz w:val="32"/>
          <w:szCs w:val="32"/>
        </w:rPr>
      </w:pPr>
      <w:r>
        <w:rPr>
          <w:sz w:val="32"/>
          <w:szCs w:val="32"/>
        </w:rPr>
        <w:t>The Colonies after Abbey Hill House was demolished in 1870</w:t>
      </w:r>
      <w:r w:rsidR="0096537D">
        <w:rPr>
          <w:sz w:val="32"/>
          <w:szCs w:val="32"/>
        </w:rPr>
        <w:t>.</w:t>
      </w:r>
    </w:p>
    <w:p w14:paraId="408D4486" w14:textId="77777777" w:rsidR="004B2E25" w:rsidRDefault="004B2E25" w:rsidP="00EF187C">
      <w:pPr>
        <w:rPr>
          <w:sz w:val="32"/>
          <w:szCs w:val="32"/>
        </w:rPr>
      </w:pPr>
    </w:p>
    <w:p w14:paraId="3A6A04F3" w14:textId="615D533A" w:rsidR="000E09EE" w:rsidRDefault="004B2E25" w:rsidP="00EF187C">
      <w:pPr>
        <w:jc w:val="right"/>
        <w:rPr>
          <w:sz w:val="32"/>
          <w:szCs w:val="32"/>
        </w:rPr>
      </w:pPr>
      <w:r>
        <w:rPr>
          <w:noProof/>
          <w:sz w:val="32"/>
          <w:szCs w:val="32"/>
          <w:lang w:val="en-US"/>
        </w:rPr>
        <w:drawing>
          <wp:inline distT="0" distB="0" distL="0" distR="0" wp14:anchorId="544EBCA0" wp14:editId="5BA09AAF">
            <wp:extent cx="5270500" cy="2782570"/>
            <wp:effectExtent l="0" t="0" r="1270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olonies 2017-06-19 at 16.35.24.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2782570"/>
                    </a:xfrm>
                    <a:prstGeom prst="rect">
                      <a:avLst/>
                    </a:prstGeom>
                  </pic:spPr>
                </pic:pic>
              </a:graphicData>
            </a:graphic>
          </wp:inline>
        </w:drawing>
      </w:r>
    </w:p>
    <w:p w14:paraId="104CBD4A" w14:textId="5AA78F55" w:rsidR="00EF187C" w:rsidRDefault="00DC0845" w:rsidP="00DC0845">
      <w:pPr>
        <w:rPr>
          <w:sz w:val="32"/>
          <w:szCs w:val="32"/>
        </w:rPr>
      </w:pPr>
      <w:r>
        <w:rPr>
          <w:noProof/>
          <w:sz w:val="32"/>
          <w:szCs w:val="32"/>
          <w:lang w:val="en-US"/>
        </w:rPr>
        <w:drawing>
          <wp:inline distT="0" distB="0" distL="0" distR="0" wp14:anchorId="69328A51" wp14:editId="08AAD579">
            <wp:extent cx="4356100" cy="3213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eyhill colonies 2017-06-19 at 16.37.20.png"/>
                    <pic:cNvPicPr/>
                  </pic:nvPicPr>
                  <pic:blipFill>
                    <a:blip r:embed="rId20">
                      <a:extLst>
                        <a:ext uri="{28A0092B-C50C-407E-A947-70E740481C1C}">
                          <a14:useLocalDpi xmlns:a14="http://schemas.microsoft.com/office/drawing/2010/main" val="0"/>
                        </a:ext>
                      </a:extLst>
                    </a:blip>
                    <a:stretch>
                      <a:fillRect/>
                    </a:stretch>
                  </pic:blipFill>
                  <pic:spPr>
                    <a:xfrm>
                      <a:off x="0" y="0"/>
                      <a:ext cx="4356100" cy="3213100"/>
                    </a:xfrm>
                    <a:prstGeom prst="rect">
                      <a:avLst/>
                    </a:prstGeom>
                  </pic:spPr>
                </pic:pic>
              </a:graphicData>
            </a:graphic>
          </wp:inline>
        </w:drawing>
      </w:r>
    </w:p>
    <w:p w14:paraId="1CCC2DD2" w14:textId="0DFCBFD1" w:rsidR="00DC0845" w:rsidRDefault="00057489" w:rsidP="00DC0845">
      <w:pPr>
        <w:rPr>
          <w:sz w:val="32"/>
          <w:szCs w:val="32"/>
        </w:rPr>
      </w:pPr>
      <w:r>
        <w:rPr>
          <w:sz w:val="32"/>
          <w:szCs w:val="32"/>
        </w:rPr>
        <w:t>Abbey Hill Colonies Today</w:t>
      </w:r>
    </w:p>
    <w:p w14:paraId="6B067FA5" w14:textId="2A1ACDFE" w:rsidR="00EF187C" w:rsidRDefault="00EF187C" w:rsidP="009B74E3">
      <w:pPr>
        <w:rPr>
          <w:sz w:val="32"/>
          <w:szCs w:val="32"/>
        </w:rPr>
      </w:pPr>
    </w:p>
    <w:sectPr w:rsidR="00EF187C" w:rsidSect="004B2E25">
      <w:pgSz w:w="11900" w:h="16840"/>
      <w:pgMar w:top="113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FF4"/>
    <w:rsid w:val="00030E40"/>
    <w:rsid w:val="00057489"/>
    <w:rsid w:val="00066825"/>
    <w:rsid w:val="00066FF4"/>
    <w:rsid w:val="000E09EE"/>
    <w:rsid w:val="0017512D"/>
    <w:rsid w:val="00261509"/>
    <w:rsid w:val="002B2B20"/>
    <w:rsid w:val="00355A4A"/>
    <w:rsid w:val="004B2E25"/>
    <w:rsid w:val="00511599"/>
    <w:rsid w:val="006D1BDD"/>
    <w:rsid w:val="00816F1F"/>
    <w:rsid w:val="008A4E64"/>
    <w:rsid w:val="008F1A69"/>
    <w:rsid w:val="00910C5D"/>
    <w:rsid w:val="0096537D"/>
    <w:rsid w:val="009B74E3"/>
    <w:rsid w:val="009D0B29"/>
    <w:rsid w:val="00AB1CD5"/>
    <w:rsid w:val="00BE2CE8"/>
    <w:rsid w:val="00BF0174"/>
    <w:rsid w:val="00C41F24"/>
    <w:rsid w:val="00CB5C9A"/>
    <w:rsid w:val="00D51959"/>
    <w:rsid w:val="00D65F46"/>
    <w:rsid w:val="00D9501E"/>
    <w:rsid w:val="00DC0845"/>
    <w:rsid w:val="00EF187C"/>
    <w:rsid w:val="00F83219"/>
    <w:rsid w:val="00FD5502"/>
    <w:rsid w:val="00FF7B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1058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B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B32"/>
    <w:rPr>
      <w:rFonts w:ascii="Lucida Grande" w:hAnsi="Lucida Grande" w:cs="Lucida Grande"/>
      <w:sz w:val="18"/>
      <w:szCs w:val="18"/>
    </w:rPr>
  </w:style>
  <w:style w:type="character" w:customStyle="1" w:styleId="apple-converted-space">
    <w:name w:val="apple-converted-space"/>
    <w:basedOn w:val="DefaultParagraphFont"/>
    <w:rsid w:val="002B2B20"/>
  </w:style>
  <w:style w:type="paragraph" w:styleId="NormalWeb">
    <w:name w:val="Normal (Web)"/>
    <w:basedOn w:val="Normal"/>
    <w:uiPriority w:val="99"/>
    <w:semiHidden/>
    <w:unhideWhenUsed/>
    <w:rsid w:val="009B74E3"/>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4B2E2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B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B32"/>
    <w:rPr>
      <w:rFonts w:ascii="Lucida Grande" w:hAnsi="Lucida Grande" w:cs="Lucida Grande"/>
      <w:sz w:val="18"/>
      <w:szCs w:val="18"/>
    </w:rPr>
  </w:style>
  <w:style w:type="character" w:customStyle="1" w:styleId="apple-converted-space">
    <w:name w:val="apple-converted-space"/>
    <w:basedOn w:val="DefaultParagraphFont"/>
    <w:rsid w:val="002B2B20"/>
  </w:style>
  <w:style w:type="paragraph" w:styleId="NormalWeb">
    <w:name w:val="Normal (Web)"/>
    <w:basedOn w:val="Normal"/>
    <w:uiPriority w:val="99"/>
    <w:semiHidden/>
    <w:unhideWhenUsed/>
    <w:rsid w:val="009B74E3"/>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4B2E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74297">
      <w:bodyDiv w:val="1"/>
      <w:marLeft w:val="0"/>
      <w:marRight w:val="0"/>
      <w:marTop w:val="0"/>
      <w:marBottom w:val="0"/>
      <w:divBdr>
        <w:top w:val="none" w:sz="0" w:space="0" w:color="auto"/>
        <w:left w:val="none" w:sz="0" w:space="0" w:color="auto"/>
        <w:bottom w:val="none" w:sz="0" w:space="0" w:color="auto"/>
        <w:right w:val="none" w:sz="0" w:space="0" w:color="auto"/>
      </w:divBdr>
      <w:divsChild>
        <w:div w:id="1038816755">
          <w:marLeft w:val="0"/>
          <w:marRight w:val="0"/>
          <w:marTop w:val="0"/>
          <w:marBottom w:val="0"/>
          <w:divBdr>
            <w:top w:val="none" w:sz="0" w:space="0" w:color="auto"/>
            <w:left w:val="none" w:sz="0" w:space="0" w:color="auto"/>
            <w:bottom w:val="none" w:sz="0" w:space="0" w:color="auto"/>
            <w:right w:val="none" w:sz="0" w:space="0" w:color="auto"/>
          </w:divBdr>
          <w:divsChild>
            <w:div w:id="1713580060">
              <w:marLeft w:val="0"/>
              <w:marRight w:val="0"/>
              <w:marTop w:val="0"/>
              <w:marBottom w:val="0"/>
              <w:divBdr>
                <w:top w:val="none" w:sz="0" w:space="0" w:color="auto"/>
                <w:left w:val="none" w:sz="0" w:space="0" w:color="auto"/>
                <w:bottom w:val="none" w:sz="0" w:space="0" w:color="auto"/>
                <w:right w:val="none" w:sz="0" w:space="0" w:color="auto"/>
              </w:divBdr>
              <w:divsChild>
                <w:div w:id="14329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67187">
      <w:bodyDiv w:val="1"/>
      <w:marLeft w:val="0"/>
      <w:marRight w:val="0"/>
      <w:marTop w:val="0"/>
      <w:marBottom w:val="0"/>
      <w:divBdr>
        <w:top w:val="none" w:sz="0" w:space="0" w:color="auto"/>
        <w:left w:val="none" w:sz="0" w:space="0" w:color="auto"/>
        <w:bottom w:val="none" w:sz="0" w:space="0" w:color="auto"/>
        <w:right w:val="none" w:sz="0" w:space="0" w:color="auto"/>
      </w:divBdr>
    </w:div>
    <w:div w:id="495918621">
      <w:bodyDiv w:val="1"/>
      <w:marLeft w:val="0"/>
      <w:marRight w:val="0"/>
      <w:marTop w:val="0"/>
      <w:marBottom w:val="0"/>
      <w:divBdr>
        <w:top w:val="none" w:sz="0" w:space="0" w:color="auto"/>
        <w:left w:val="none" w:sz="0" w:space="0" w:color="auto"/>
        <w:bottom w:val="none" w:sz="0" w:space="0" w:color="auto"/>
        <w:right w:val="none" w:sz="0" w:space="0" w:color="auto"/>
      </w:divBdr>
    </w:div>
    <w:div w:id="1171337070">
      <w:bodyDiv w:val="1"/>
      <w:marLeft w:val="0"/>
      <w:marRight w:val="0"/>
      <w:marTop w:val="0"/>
      <w:marBottom w:val="0"/>
      <w:divBdr>
        <w:top w:val="none" w:sz="0" w:space="0" w:color="auto"/>
        <w:left w:val="none" w:sz="0" w:space="0" w:color="auto"/>
        <w:bottom w:val="none" w:sz="0" w:space="0" w:color="auto"/>
        <w:right w:val="none" w:sz="0" w:space="0" w:color="auto"/>
      </w:divBdr>
    </w:div>
    <w:div w:id="1924953045">
      <w:bodyDiv w:val="1"/>
      <w:marLeft w:val="0"/>
      <w:marRight w:val="0"/>
      <w:marTop w:val="0"/>
      <w:marBottom w:val="0"/>
      <w:divBdr>
        <w:top w:val="none" w:sz="0" w:space="0" w:color="auto"/>
        <w:left w:val="none" w:sz="0" w:space="0" w:color="auto"/>
        <w:bottom w:val="none" w:sz="0" w:space="0" w:color="auto"/>
        <w:right w:val="none" w:sz="0" w:space="0" w:color="auto"/>
      </w:divBdr>
      <w:divsChild>
        <w:div w:id="481043415">
          <w:marLeft w:val="0"/>
          <w:marRight w:val="0"/>
          <w:marTop w:val="0"/>
          <w:marBottom w:val="0"/>
          <w:divBdr>
            <w:top w:val="none" w:sz="0" w:space="0" w:color="auto"/>
            <w:left w:val="none" w:sz="0" w:space="0" w:color="auto"/>
            <w:bottom w:val="none" w:sz="0" w:space="0" w:color="auto"/>
            <w:right w:val="none" w:sz="0" w:space="0" w:color="auto"/>
          </w:divBdr>
          <w:divsChild>
            <w:div w:id="120156282">
              <w:marLeft w:val="0"/>
              <w:marRight w:val="0"/>
              <w:marTop w:val="0"/>
              <w:marBottom w:val="0"/>
              <w:divBdr>
                <w:top w:val="none" w:sz="0" w:space="0" w:color="auto"/>
                <w:left w:val="none" w:sz="0" w:space="0" w:color="auto"/>
                <w:bottom w:val="none" w:sz="0" w:space="0" w:color="auto"/>
                <w:right w:val="none" w:sz="0" w:space="0" w:color="auto"/>
              </w:divBdr>
              <w:divsChild>
                <w:div w:id="7610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Scotland" TargetMode="External"/><Relationship Id="rId20" Type="http://schemas.openxmlformats.org/officeDocument/2006/relationships/image" Target="media/image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en.wikipedia.org/wiki/Subject-matter_jurisdiction" TargetMode="External"/><Relationship Id="rId11" Type="http://schemas.openxmlformats.org/officeDocument/2006/relationships/hyperlink" Target="https://en.wikipedia.org/wiki/Adjudication" TargetMode="External"/><Relationship Id="rId12" Type="http://schemas.openxmlformats.org/officeDocument/2006/relationships/hyperlink" Target="https://en.wikipedia.org/wiki/Customs_(tax)" TargetMode="External"/><Relationship Id="rId13" Type="http://schemas.openxmlformats.org/officeDocument/2006/relationships/hyperlink" Target="https://en.wikipedia.org/wiki/Excise" TargetMode="External"/><Relationship Id="rId14" Type="http://schemas.openxmlformats.org/officeDocument/2006/relationships/hyperlink" Target="https://en.wikipedia.org/wiki/Stamp_duty" TargetMode="External"/><Relationship Id="rId15" Type="http://schemas.openxmlformats.org/officeDocument/2006/relationships/hyperlink" Target="https://en.wikipedia.org/wiki/Probate"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hyperlink" Target="https://en.wikipedia.org/wiki/Scottish_court_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55A2F-796C-054A-B24C-A52CC06A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Pages>
  <Words>649</Words>
  <Characters>3702</Characters>
  <Application>Microsoft Macintosh Word</Application>
  <DocSecurity>0</DocSecurity>
  <Lines>30</Lines>
  <Paragraphs>8</Paragraphs>
  <ScaleCrop>false</ScaleCrop>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 Townsend</dc:creator>
  <cp:keywords/>
  <dc:description/>
  <cp:lastModifiedBy>Darrel Townsend</cp:lastModifiedBy>
  <cp:revision>23</cp:revision>
  <cp:lastPrinted>2017-06-21T20:04:00Z</cp:lastPrinted>
  <dcterms:created xsi:type="dcterms:W3CDTF">2017-05-20T14:59:00Z</dcterms:created>
  <dcterms:modified xsi:type="dcterms:W3CDTF">2017-06-21T20:06:00Z</dcterms:modified>
</cp:coreProperties>
</file>